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60438" w14:textId="12AA0976" w:rsidR="00B45115" w:rsidRPr="00CD2A90" w:rsidRDefault="00FA12B1" w:rsidP="00B45115">
      <w:pPr>
        <w:spacing w:beforeAutospacing="1" w:after="0" w:afterAutospacing="1" w:line="240" w:lineRule="auto"/>
        <w:jc w:val="center"/>
        <w:rPr>
          <w:rFonts w:ascii="Calibri" w:eastAsia="Times New Roman" w:hAnsi="Calibri" w:cs="Calibri"/>
          <w:b/>
          <w:bCs/>
          <w:color w:val="000000"/>
          <w:sz w:val="36"/>
          <w:szCs w:val="36"/>
          <w:bdr w:val="none" w:sz="0" w:space="0" w:color="auto" w:frame="1"/>
          <w:lang w:eastAsia="en-AU"/>
        </w:rPr>
      </w:pPr>
      <w:r w:rsidRPr="00CD2A90">
        <w:rPr>
          <w:rFonts w:ascii="Calibri" w:eastAsia="Times New Roman" w:hAnsi="Calibri" w:cs="Calibri"/>
          <w:b/>
          <w:bCs/>
          <w:color w:val="000000"/>
          <w:sz w:val="36"/>
          <w:szCs w:val="36"/>
          <w:bdr w:val="none" w:sz="0" w:space="0" w:color="auto" w:frame="1"/>
          <w:lang w:eastAsia="en-AU"/>
        </w:rPr>
        <w:t>VALID’s</w:t>
      </w:r>
      <w:r w:rsidR="00CD2A90">
        <w:rPr>
          <w:rFonts w:ascii="Calibri" w:eastAsia="Times New Roman" w:hAnsi="Calibri" w:cs="Calibri"/>
          <w:b/>
          <w:bCs/>
          <w:color w:val="000000"/>
          <w:sz w:val="36"/>
          <w:szCs w:val="36"/>
          <w:bdr w:val="none" w:sz="0" w:space="0" w:color="auto" w:frame="1"/>
          <w:lang w:eastAsia="en-AU"/>
        </w:rPr>
        <w:t xml:space="preserve"> </w:t>
      </w:r>
      <w:r w:rsidRPr="00CD2A90">
        <w:rPr>
          <w:rFonts w:ascii="Calibri" w:eastAsia="Times New Roman" w:hAnsi="Calibri" w:cs="Calibri"/>
          <w:b/>
          <w:bCs/>
          <w:color w:val="000000"/>
          <w:sz w:val="36"/>
          <w:szCs w:val="36"/>
          <w:bdr w:val="none" w:sz="0" w:space="0" w:color="auto" w:frame="1"/>
          <w:lang w:eastAsia="en-AU"/>
        </w:rPr>
        <w:t xml:space="preserve">Call to Action to the </w:t>
      </w:r>
      <w:r w:rsidR="00B45115" w:rsidRPr="00CD2A90">
        <w:rPr>
          <w:rFonts w:ascii="Calibri" w:eastAsia="Times New Roman" w:hAnsi="Calibri" w:cs="Calibri"/>
          <w:b/>
          <w:bCs/>
          <w:color w:val="000000"/>
          <w:sz w:val="36"/>
          <w:szCs w:val="36"/>
          <w:bdr w:val="none" w:sz="0" w:space="0" w:color="auto" w:frame="1"/>
          <w:lang w:eastAsia="en-AU"/>
        </w:rPr>
        <w:t>Federal Government</w:t>
      </w:r>
    </w:p>
    <w:p w14:paraId="10E9B41C" w14:textId="77777777" w:rsidR="00B45115" w:rsidRPr="0016516A" w:rsidRDefault="00B45115" w:rsidP="00B45115">
      <w:pPr>
        <w:spacing w:beforeAutospacing="1" w:after="0" w:afterAutospacing="1" w:line="240" w:lineRule="auto"/>
        <w:jc w:val="center"/>
        <w:rPr>
          <w:rFonts w:eastAsia="Times New Roman" w:cstheme="minorHAnsi"/>
          <w:b/>
          <w:bCs/>
          <w:color w:val="000000"/>
          <w:lang w:eastAsia="en-AU"/>
        </w:rPr>
      </w:pPr>
    </w:p>
    <w:p w14:paraId="13DED865" w14:textId="77777777" w:rsidR="00B45115" w:rsidRPr="00FA12B1" w:rsidRDefault="0016516A" w:rsidP="00B45115">
      <w:pPr>
        <w:pStyle w:val="ListParagraph"/>
        <w:numPr>
          <w:ilvl w:val="0"/>
          <w:numId w:val="4"/>
        </w:numPr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36"/>
          <w:szCs w:val="36"/>
          <w:bdr w:val="none" w:sz="0" w:space="0" w:color="auto" w:frame="1"/>
          <w:lang w:eastAsia="en-AU"/>
        </w:rPr>
      </w:pPr>
      <w:r w:rsidRPr="00FA12B1">
        <w:rPr>
          <w:rFonts w:ascii="Calibri" w:eastAsia="Times New Roman" w:hAnsi="Calibri" w:cs="Calibri"/>
          <w:color w:val="000000"/>
          <w:sz w:val="36"/>
          <w:szCs w:val="36"/>
          <w:bdr w:val="none" w:sz="0" w:space="0" w:color="auto" w:frame="1"/>
          <w:lang w:eastAsia="en-AU"/>
        </w:rPr>
        <w:t>Establish a </w:t>
      </w:r>
      <w:r w:rsidRPr="00FA12B1">
        <w:rPr>
          <w:rFonts w:ascii="Calibri" w:eastAsia="Times New Roman" w:hAnsi="Calibri" w:cs="Calibri"/>
          <w:b/>
          <w:bCs/>
          <w:color w:val="000000"/>
          <w:sz w:val="36"/>
          <w:szCs w:val="36"/>
          <w:bdr w:val="none" w:sz="0" w:space="0" w:color="auto" w:frame="1"/>
          <w:lang w:eastAsia="en-AU"/>
        </w:rPr>
        <w:t>National Resource Centre</w:t>
      </w:r>
      <w:r w:rsidRPr="00FA12B1">
        <w:rPr>
          <w:rFonts w:ascii="Calibri" w:eastAsia="Times New Roman" w:hAnsi="Calibri" w:cs="Calibri"/>
          <w:color w:val="000000"/>
          <w:sz w:val="36"/>
          <w:szCs w:val="36"/>
          <w:bdr w:val="none" w:sz="0" w:space="0" w:color="auto" w:frame="1"/>
          <w:lang w:eastAsia="en-AU"/>
        </w:rPr>
        <w:t xml:space="preserve"> for Supported Decision-Making. </w:t>
      </w:r>
    </w:p>
    <w:p w14:paraId="60ADD366" w14:textId="77777777" w:rsidR="00B45115" w:rsidRDefault="00B45115" w:rsidP="00B45115">
      <w:pPr>
        <w:pStyle w:val="ListParagraph"/>
        <w:spacing w:beforeAutospacing="1" w:after="0" w:afterAutospacing="1" w:line="240" w:lineRule="auto"/>
        <w:ind w:left="1110"/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  <w:lang w:eastAsia="en-AU"/>
        </w:rPr>
      </w:pPr>
    </w:p>
    <w:p w14:paraId="509C0889" w14:textId="77777777" w:rsidR="00B45115" w:rsidRDefault="00B45115" w:rsidP="00B45115">
      <w:pPr>
        <w:pStyle w:val="ListParagraph"/>
        <w:spacing w:beforeAutospacing="1" w:after="0" w:afterAutospacing="1" w:line="240" w:lineRule="auto"/>
        <w:ind w:left="1110"/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  <w:lang w:eastAsia="en-AU"/>
        </w:rPr>
      </w:pPr>
      <w:r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  <w:lang w:eastAsia="en-AU"/>
        </w:rPr>
        <w:t>This would</w:t>
      </w:r>
      <w:r w:rsidR="0016516A" w:rsidRPr="0016516A"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  <w:lang w:eastAsia="en-AU"/>
        </w:rPr>
        <w:t xml:space="preserve"> centralise resources, </w:t>
      </w:r>
      <w:proofErr w:type="gramStart"/>
      <w:r w:rsidR="0016516A" w:rsidRPr="0016516A"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  <w:lang w:eastAsia="en-AU"/>
        </w:rPr>
        <w:t>research</w:t>
      </w:r>
      <w:proofErr w:type="gramEnd"/>
      <w:r w:rsidR="0016516A" w:rsidRPr="0016516A"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  <w:lang w:eastAsia="en-AU"/>
        </w:rPr>
        <w:t xml:space="preserve"> and training on supported decision-making</w:t>
      </w:r>
      <w:r w:rsidR="0016516A"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  <w:lang w:eastAsia="en-AU"/>
        </w:rPr>
        <w:t xml:space="preserve">. </w:t>
      </w:r>
    </w:p>
    <w:p w14:paraId="5DBBC6DD" w14:textId="77777777" w:rsidR="00B45115" w:rsidRDefault="00B45115" w:rsidP="00B45115">
      <w:pPr>
        <w:pStyle w:val="ListParagraph"/>
        <w:spacing w:beforeAutospacing="1" w:after="0" w:afterAutospacing="1" w:line="240" w:lineRule="auto"/>
        <w:ind w:left="1110"/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  <w:lang w:eastAsia="en-AU"/>
        </w:rPr>
      </w:pPr>
    </w:p>
    <w:p w14:paraId="4EA925DA" w14:textId="533FF928" w:rsidR="00B45115" w:rsidRPr="00B45115" w:rsidRDefault="00B45115" w:rsidP="00B45115">
      <w:pPr>
        <w:pStyle w:val="ListParagraph"/>
        <w:spacing w:beforeAutospacing="1" w:after="0" w:afterAutospacing="1" w:line="240" w:lineRule="auto"/>
        <w:ind w:left="1110"/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  <w:lang w:eastAsia="en-AU"/>
        </w:rPr>
      </w:pPr>
      <w:r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  <w:lang w:eastAsia="en-AU"/>
        </w:rPr>
        <w:t>An example from the U.S.</w:t>
      </w:r>
      <w:r w:rsidR="0016516A"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  <w:lang w:eastAsia="en-AU"/>
        </w:rPr>
        <w:t>:</w:t>
      </w:r>
      <w:r w:rsidR="0016516A" w:rsidRPr="0016516A"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  <w:lang w:eastAsia="en-AU"/>
        </w:rPr>
        <w:t xml:space="preserve"> </w:t>
      </w:r>
      <w:hyperlink r:id="rId7" w:history="1">
        <w:r w:rsidR="0016516A" w:rsidRPr="0016516A">
          <w:rPr>
            <w:rFonts w:ascii="Calibri" w:eastAsia="Times New Roman" w:hAnsi="Calibri" w:cs="Calibri"/>
            <w:color w:val="0000FF"/>
            <w:sz w:val="28"/>
            <w:szCs w:val="28"/>
            <w:u w:val="single"/>
            <w:bdr w:val="none" w:sz="0" w:space="0" w:color="auto" w:frame="1"/>
            <w:lang w:eastAsia="en-AU"/>
          </w:rPr>
          <w:t>https://supporteddecisionmaking.org/</w:t>
        </w:r>
      </w:hyperlink>
    </w:p>
    <w:p w14:paraId="20970107" w14:textId="77777777" w:rsidR="00B45115" w:rsidRPr="00CD2A90" w:rsidRDefault="00B45115" w:rsidP="00B45115">
      <w:pPr>
        <w:pStyle w:val="ListParagraph"/>
        <w:spacing w:beforeAutospacing="1" w:after="0" w:afterAutospacing="1" w:line="240" w:lineRule="auto"/>
        <w:ind w:left="1110"/>
        <w:rPr>
          <w:rFonts w:ascii="Calibri" w:eastAsia="Times New Roman" w:hAnsi="Calibri" w:cs="Calibri"/>
          <w:color w:val="000000"/>
          <w:bdr w:val="none" w:sz="0" w:space="0" w:color="auto" w:frame="1"/>
          <w:lang w:eastAsia="en-AU"/>
        </w:rPr>
      </w:pPr>
    </w:p>
    <w:p w14:paraId="7CFD83C0" w14:textId="77777777" w:rsidR="00B45115" w:rsidRPr="00CD2A90" w:rsidRDefault="00B45115" w:rsidP="00B45115">
      <w:pPr>
        <w:pStyle w:val="ListParagraph"/>
        <w:spacing w:beforeAutospacing="1" w:after="0" w:afterAutospacing="1" w:line="240" w:lineRule="auto"/>
        <w:ind w:left="1110"/>
        <w:rPr>
          <w:rFonts w:ascii="Calibri" w:eastAsia="Times New Roman" w:hAnsi="Calibri" w:cs="Calibri"/>
          <w:color w:val="000000"/>
          <w:bdr w:val="none" w:sz="0" w:space="0" w:color="auto" w:frame="1"/>
          <w:lang w:eastAsia="en-AU"/>
        </w:rPr>
      </w:pPr>
    </w:p>
    <w:p w14:paraId="3C9487B4" w14:textId="7D898A99" w:rsidR="00B45115" w:rsidRPr="00FA12B1" w:rsidRDefault="0016516A" w:rsidP="00B45115">
      <w:pPr>
        <w:pStyle w:val="ListParagraph"/>
        <w:numPr>
          <w:ilvl w:val="0"/>
          <w:numId w:val="4"/>
        </w:numPr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36"/>
          <w:szCs w:val="36"/>
          <w:bdr w:val="none" w:sz="0" w:space="0" w:color="auto" w:frame="1"/>
          <w:lang w:eastAsia="en-AU"/>
        </w:rPr>
      </w:pPr>
      <w:r w:rsidRPr="00FA12B1">
        <w:rPr>
          <w:rFonts w:ascii="Calibri" w:eastAsia="Times New Roman" w:hAnsi="Calibri" w:cs="Calibri"/>
          <w:color w:val="000000"/>
          <w:sz w:val="36"/>
          <w:szCs w:val="36"/>
          <w:bdr w:val="none" w:sz="0" w:space="0" w:color="auto" w:frame="1"/>
          <w:lang w:eastAsia="en-AU"/>
        </w:rPr>
        <w:t>Create new NDIS Quality and Safeguards Commission </w:t>
      </w:r>
      <w:r w:rsidRPr="00FA12B1">
        <w:rPr>
          <w:rFonts w:ascii="Calibri" w:eastAsia="Times New Roman" w:hAnsi="Calibri" w:cs="Calibri"/>
          <w:b/>
          <w:bCs/>
          <w:color w:val="000000"/>
          <w:sz w:val="36"/>
          <w:szCs w:val="36"/>
          <w:bdr w:val="none" w:sz="0" w:space="0" w:color="auto" w:frame="1"/>
          <w:lang w:eastAsia="en-AU"/>
        </w:rPr>
        <w:t>training modules</w:t>
      </w:r>
      <w:r w:rsidRPr="00FA12B1">
        <w:rPr>
          <w:rFonts w:ascii="Calibri" w:eastAsia="Times New Roman" w:hAnsi="Calibri" w:cs="Calibri"/>
          <w:color w:val="000000"/>
          <w:sz w:val="36"/>
          <w:szCs w:val="36"/>
          <w:bdr w:val="none" w:sz="0" w:space="0" w:color="auto" w:frame="1"/>
          <w:lang w:eastAsia="en-AU"/>
        </w:rPr>
        <w:t> on supported decision making</w:t>
      </w:r>
      <w:r w:rsidR="00B45115" w:rsidRPr="00FA12B1">
        <w:rPr>
          <w:rFonts w:ascii="Calibri" w:eastAsia="Times New Roman" w:hAnsi="Calibri" w:cs="Calibri"/>
          <w:color w:val="000000"/>
          <w:sz w:val="36"/>
          <w:szCs w:val="36"/>
          <w:bdr w:val="none" w:sz="0" w:space="0" w:color="auto" w:frame="1"/>
          <w:lang w:eastAsia="en-AU"/>
        </w:rPr>
        <w:t>.</w:t>
      </w:r>
      <w:r w:rsidRPr="00FA12B1">
        <w:rPr>
          <w:rFonts w:ascii="Calibri" w:eastAsia="Times New Roman" w:hAnsi="Calibri" w:cs="Calibri"/>
          <w:color w:val="000000"/>
          <w:sz w:val="36"/>
          <w:szCs w:val="36"/>
          <w:bdr w:val="none" w:sz="0" w:space="0" w:color="auto" w:frame="1"/>
          <w:lang w:eastAsia="en-AU"/>
        </w:rPr>
        <w:t xml:space="preserve"> </w:t>
      </w:r>
    </w:p>
    <w:p w14:paraId="47ECCC91" w14:textId="77777777" w:rsidR="00B45115" w:rsidRDefault="00B45115" w:rsidP="00B45115">
      <w:pPr>
        <w:pStyle w:val="ListParagraph"/>
        <w:spacing w:beforeAutospacing="1" w:after="0" w:afterAutospacing="1" w:line="240" w:lineRule="auto"/>
        <w:ind w:left="1110"/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  <w:lang w:eastAsia="en-AU"/>
        </w:rPr>
      </w:pPr>
    </w:p>
    <w:p w14:paraId="502ED715" w14:textId="77777777" w:rsidR="00B45115" w:rsidRDefault="00B45115" w:rsidP="00B45115">
      <w:pPr>
        <w:pStyle w:val="ListParagraph"/>
        <w:spacing w:beforeAutospacing="1" w:after="0" w:afterAutospacing="1" w:line="240" w:lineRule="auto"/>
        <w:ind w:left="1110"/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  <w:lang w:eastAsia="en-AU"/>
        </w:rPr>
      </w:pPr>
      <w:r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  <w:lang w:eastAsia="en-AU"/>
        </w:rPr>
        <w:t>These</w:t>
      </w:r>
      <w:r w:rsidR="0016516A" w:rsidRPr="00B45115"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  <w:lang w:eastAsia="en-AU"/>
        </w:rPr>
        <w:t xml:space="preserve"> could be used by</w:t>
      </w:r>
      <w:r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  <w:lang w:eastAsia="en-AU"/>
        </w:rPr>
        <w:t>:</w:t>
      </w:r>
      <w:r w:rsidR="0016516A" w:rsidRPr="00B45115"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  <w:lang w:eastAsia="en-AU"/>
        </w:rPr>
        <w:t xml:space="preserve"> </w:t>
      </w:r>
    </w:p>
    <w:p w14:paraId="450D5F74" w14:textId="77777777" w:rsidR="00B45115" w:rsidRDefault="00B45115" w:rsidP="00B45115">
      <w:pPr>
        <w:pStyle w:val="ListParagraph"/>
        <w:spacing w:beforeAutospacing="1" w:after="0" w:afterAutospacing="1" w:line="240" w:lineRule="auto"/>
        <w:ind w:left="1110"/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  <w:lang w:eastAsia="en-AU"/>
        </w:rPr>
      </w:pPr>
    </w:p>
    <w:p w14:paraId="1F0F263E" w14:textId="21076F77" w:rsidR="00B45115" w:rsidRPr="00B45115" w:rsidRDefault="00B45115" w:rsidP="00B45115">
      <w:pPr>
        <w:pStyle w:val="ListParagraph"/>
        <w:numPr>
          <w:ilvl w:val="0"/>
          <w:numId w:val="5"/>
        </w:numPr>
        <w:spacing w:beforeAutospacing="1" w:after="0" w:afterAutospacing="1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en-AU"/>
        </w:rPr>
      </w:pPr>
      <w:r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  <w:lang w:eastAsia="en-AU"/>
        </w:rPr>
        <w:t>D</w:t>
      </w:r>
      <w:r w:rsidR="0016516A" w:rsidRPr="00B45115"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  <w:lang w:eastAsia="en-AU"/>
        </w:rPr>
        <w:t>isability professionals</w:t>
      </w:r>
      <w:r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  <w:lang w:eastAsia="en-AU"/>
        </w:rPr>
        <w:t xml:space="preserve">, </w:t>
      </w:r>
      <w:r w:rsidR="0016516A" w:rsidRPr="00B45115"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  <w:lang w:eastAsia="en-AU"/>
        </w:rPr>
        <w:t xml:space="preserve">including direct support </w:t>
      </w:r>
      <w:proofErr w:type="gramStart"/>
      <w:r w:rsidR="0016516A" w:rsidRPr="00B45115"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  <w:lang w:eastAsia="en-AU"/>
        </w:rPr>
        <w:t>staff</w:t>
      </w:r>
      <w:proofErr w:type="gramEnd"/>
    </w:p>
    <w:p w14:paraId="5B189A17" w14:textId="7820B882" w:rsidR="00B45115" w:rsidRPr="00B45115" w:rsidRDefault="00B45115" w:rsidP="00B45115">
      <w:pPr>
        <w:pStyle w:val="ListParagraph"/>
        <w:numPr>
          <w:ilvl w:val="0"/>
          <w:numId w:val="5"/>
        </w:numPr>
        <w:spacing w:beforeAutospacing="1" w:after="0" w:afterAutospacing="1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en-AU"/>
        </w:rPr>
      </w:pPr>
      <w:r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  <w:lang w:eastAsia="en-AU"/>
        </w:rPr>
        <w:t>P</w:t>
      </w:r>
      <w:r w:rsidR="0016516A" w:rsidRPr="00B45115"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  <w:lang w:eastAsia="en-AU"/>
        </w:rPr>
        <w:t>eople in public-facing roles</w:t>
      </w:r>
      <w:r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  <w:lang w:eastAsia="en-AU"/>
        </w:rPr>
        <w:t xml:space="preserve"> –</w:t>
      </w:r>
      <w:r w:rsidR="0016516A" w:rsidRPr="00B45115"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  <w:lang w:eastAsia="en-AU"/>
        </w:rPr>
        <w:t xml:space="preserve"> </w:t>
      </w:r>
      <w:r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  <w:lang w:eastAsia="en-AU"/>
        </w:rPr>
        <w:t>like</w:t>
      </w:r>
      <w:r w:rsidR="0016516A" w:rsidRPr="00B45115"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  <w:lang w:eastAsia="en-AU"/>
        </w:rPr>
        <w:t xml:space="preserve"> the NDIA, Centrelink, hospitals, </w:t>
      </w:r>
      <w:proofErr w:type="gramStart"/>
      <w:r w:rsidR="0016516A" w:rsidRPr="00B45115"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  <w:lang w:eastAsia="en-AU"/>
        </w:rPr>
        <w:t>education</w:t>
      </w:r>
      <w:proofErr w:type="gramEnd"/>
      <w:r w:rsidR="0016516A" w:rsidRPr="00B45115"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  <w:lang w:eastAsia="en-AU"/>
        </w:rPr>
        <w:t xml:space="preserve"> and training, </w:t>
      </w:r>
      <w:r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  <w:lang w:eastAsia="en-AU"/>
        </w:rPr>
        <w:t>and more</w:t>
      </w:r>
    </w:p>
    <w:p w14:paraId="6B31EAF9" w14:textId="77777777" w:rsidR="00B45115" w:rsidRDefault="00B45115" w:rsidP="00B45115">
      <w:pPr>
        <w:pStyle w:val="ListParagraph"/>
        <w:spacing w:beforeAutospacing="1" w:after="0" w:afterAutospacing="1" w:line="240" w:lineRule="auto"/>
        <w:ind w:left="1110"/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  <w:lang w:eastAsia="en-AU"/>
        </w:rPr>
      </w:pPr>
    </w:p>
    <w:p w14:paraId="610856ED" w14:textId="44FAF911" w:rsidR="00B45115" w:rsidRDefault="00B45115" w:rsidP="00B45115">
      <w:pPr>
        <w:pStyle w:val="ListParagraph"/>
        <w:spacing w:beforeAutospacing="1" w:after="0" w:afterAutospacing="1" w:line="240" w:lineRule="auto"/>
        <w:ind w:left="1110"/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  <w:lang w:eastAsia="en-AU"/>
        </w:rPr>
      </w:pPr>
      <w:r w:rsidRPr="00B45115"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  <w:lang w:eastAsia="en-AU"/>
        </w:rPr>
        <w:t>T</w:t>
      </w:r>
      <w:r w:rsidR="0016516A" w:rsidRPr="00B45115"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  <w:lang w:eastAsia="en-AU"/>
        </w:rPr>
        <w:t>hese modules could be made mandatory for some professionals</w:t>
      </w:r>
      <w:r w:rsidRPr="00B45115"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  <w:lang w:eastAsia="en-AU"/>
        </w:rPr>
        <w:t>.</w:t>
      </w:r>
    </w:p>
    <w:p w14:paraId="2C940119" w14:textId="77777777" w:rsidR="00B45115" w:rsidRPr="00CD2A90" w:rsidRDefault="00B45115" w:rsidP="00B45115">
      <w:pPr>
        <w:pStyle w:val="ListParagraph"/>
        <w:spacing w:beforeAutospacing="1" w:after="0" w:afterAutospacing="1" w:line="240" w:lineRule="auto"/>
        <w:ind w:left="1110"/>
        <w:rPr>
          <w:rFonts w:ascii="Calibri" w:eastAsia="Times New Roman" w:hAnsi="Calibri" w:cs="Calibri"/>
          <w:color w:val="000000"/>
          <w:bdr w:val="none" w:sz="0" w:space="0" w:color="auto" w:frame="1"/>
          <w:lang w:eastAsia="en-AU"/>
        </w:rPr>
      </w:pPr>
    </w:p>
    <w:p w14:paraId="0B3D91CE" w14:textId="77777777" w:rsidR="00B45115" w:rsidRPr="00CD2A90" w:rsidRDefault="00B45115" w:rsidP="00B45115">
      <w:pPr>
        <w:pStyle w:val="ListParagraph"/>
        <w:spacing w:beforeAutospacing="1" w:after="0" w:afterAutospacing="1" w:line="240" w:lineRule="auto"/>
        <w:ind w:left="1110"/>
        <w:rPr>
          <w:rFonts w:ascii="Calibri" w:eastAsia="Times New Roman" w:hAnsi="Calibri" w:cs="Calibri"/>
          <w:color w:val="000000"/>
          <w:bdr w:val="none" w:sz="0" w:space="0" w:color="auto" w:frame="1"/>
          <w:lang w:eastAsia="en-AU"/>
        </w:rPr>
      </w:pPr>
    </w:p>
    <w:p w14:paraId="1353E3E4" w14:textId="17FBA920" w:rsidR="00B45115" w:rsidRPr="00FA12B1" w:rsidRDefault="00B45115" w:rsidP="00B45115">
      <w:pPr>
        <w:pStyle w:val="ListParagraph"/>
        <w:numPr>
          <w:ilvl w:val="0"/>
          <w:numId w:val="4"/>
        </w:numPr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36"/>
          <w:szCs w:val="36"/>
          <w:bdr w:val="none" w:sz="0" w:space="0" w:color="auto" w:frame="1"/>
          <w:lang w:eastAsia="en-AU"/>
        </w:rPr>
      </w:pPr>
      <w:r w:rsidRPr="00FA12B1">
        <w:rPr>
          <w:rFonts w:ascii="Calibri" w:eastAsia="Times New Roman" w:hAnsi="Calibri" w:cs="Calibri"/>
          <w:color w:val="000000"/>
          <w:sz w:val="36"/>
          <w:szCs w:val="36"/>
          <w:bdr w:val="none" w:sz="0" w:space="0" w:color="auto" w:frame="1"/>
          <w:lang w:eastAsia="en-AU"/>
        </w:rPr>
        <w:t>P</w:t>
      </w:r>
      <w:r w:rsidR="0016516A" w:rsidRPr="00FA12B1">
        <w:rPr>
          <w:rFonts w:ascii="Calibri" w:eastAsia="Times New Roman" w:hAnsi="Calibri" w:cs="Calibri"/>
          <w:color w:val="000000"/>
          <w:sz w:val="36"/>
          <w:szCs w:val="36"/>
          <w:bdr w:val="none" w:sz="0" w:space="0" w:color="auto" w:frame="1"/>
          <w:lang w:eastAsia="en-AU"/>
        </w:rPr>
        <w:t>rovide </w:t>
      </w:r>
      <w:r w:rsidR="0016516A" w:rsidRPr="00FA12B1">
        <w:rPr>
          <w:rFonts w:ascii="Calibri" w:eastAsia="Times New Roman" w:hAnsi="Calibri" w:cs="Calibri"/>
          <w:b/>
          <w:bCs/>
          <w:color w:val="000000"/>
          <w:sz w:val="36"/>
          <w:szCs w:val="36"/>
          <w:bdr w:val="none" w:sz="0" w:space="0" w:color="auto" w:frame="1"/>
          <w:lang w:eastAsia="en-AU"/>
        </w:rPr>
        <w:t>mandatory training</w:t>
      </w:r>
      <w:r w:rsidR="0016516A" w:rsidRPr="00FA12B1">
        <w:rPr>
          <w:rFonts w:ascii="Calibri" w:eastAsia="Times New Roman" w:hAnsi="Calibri" w:cs="Calibri"/>
          <w:color w:val="000000"/>
          <w:sz w:val="36"/>
          <w:szCs w:val="36"/>
          <w:bdr w:val="none" w:sz="0" w:space="0" w:color="auto" w:frame="1"/>
          <w:lang w:eastAsia="en-AU"/>
        </w:rPr>
        <w:t> on supported decision making for all participant-facing NDIA staff</w:t>
      </w:r>
      <w:r w:rsidRPr="00FA12B1">
        <w:rPr>
          <w:rFonts w:ascii="Calibri" w:eastAsia="Times New Roman" w:hAnsi="Calibri" w:cs="Calibri"/>
          <w:color w:val="000000"/>
          <w:sz w:val="36"/>
          <w:szCs w:val="36"/>
          <w:bdr w:val="none" w:sz="0" w:space="0" w:color="auto" w:frame="1"/>
          <w:lang w:eastAsia="en-AU"/>
        </w:rPr>
        <w:t>.</w:t>
      </w:r>
      <w:r w:rsidR="0016516A" w:rsidRPr="00FA12B1">
        <w:rPr>
          <w:rFonts w:ascii="Calibri" w:eastAsia="Times New Roman" w:hAnsi="Calibri" w:cs="Calibri"/>
          <w:color w:val="000000"/>
          <w:sz w:val="36"/>
          <w:szCs w:val="36"/>
          <w:bdr w:val="none" w:sz="0" w:space="0" w:color="auto" w:frame="1"/>
          <w:lang w:eastAsia="en-AU"/>
        </w:rPr>
        <w:t xml:space="preserve"> </w:t>
      </w:r>
    </w:p>
    <w:p w14:paraId="20C4C110" w14:textId="77777777" w:rsidR="00B45115" w:rsidRDefault="00B45115" w:rsidP="00B45115">
      <w:pPr>
        <w:pStyle w:val="ListParagraph"/>
        <w:spacing w:beforeAutospacing="1" w:after="0" w:afterAutospacing="1" w:line="240" w:lineRule="auto"/>
        <w:ind w:left="1110"/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  <w:lang w:eastAsia="en-AU"/>
        </w:rPr>
      </w:pPr>
    </w:p>
    <w:p w14:paraId="10DCA0B2" w14:textId="77777777" w:rsidR="00B45115" w:rsidRDefault="00B45115" w:rsidP="00B45115">
      <w:pPr>
        <w:pStyle w:val="ListParagraph"/>
        <w:spacing w:beforeAutospacing="1" w:after="0" w:afterAutospacing="1" w:line="240" w:lineRule="auto"/>
        <w:ind w:left="1110"/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  <w:lang w:eastAsia="en-AU"/>
        </w:rPr>
      </w:pPr>
      <w:r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  <w:lang w:eastAsia="en-AU"/>
        </w:rPr>
        <w:t>This training would be</w:t>
      </w:r>
      <w:r w:rsidR="0016516A" w:rsidRPr="00B45115"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  <w:lang w:eastAsia="en-AU"/>
        </w:rPr>
        <w:t xml:space="preserve"> co-designed and co-delivered by people with intellectual disability and families</w:t>
      </w:r>
      <w:r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  <w:lang w:eastAsia="en-AU"/>
        </w:rPr>
        <w:t>.</w:t>
      </w:r>
    </w:p>
    <w:p w14:paraId="67C33452" w14:textId="77777777" w:rsidR="00B45115" w:rsidRPr="00CD2A90" w:rsidRDefault="00B45115" w:rsidP="00B45115">
      <w:pPr>
        <w:pStyle w:val="ListParagraph"/>
        <w:spacing w:beforeAutospacing="1" w:after="0" w:afterAutospacing="1" w:line="240" w:lineRule="auto"/>
        <w:ind w:left="1110"/>
        <w:rPr>
          <w:rFonts w:ascii="Calibri" w:eastAsia="Times New Roman" w:hAnsi="Calibri" w:cs="Calibri"/>
          <w:color w:val="000000"/>
          <w:bdr w:val="none" w:sz="0" w:space="0" w:color="auto" w:frame="1"/>
          <w:lang w:eastAsia="en-AU"/>
        </w:rPr>
      </w:pPr>
    </w:p>
    <w:p w14:paraId="088A1562" w14:textId="77777777" w:rsidR="00B45115" w:rsidRPr="00CD2A90" w:rsidRDefault="00B45115" w:rsidP="00B45115">
      <w:pPr>
        <w:pStyle w:val="ListParagraph"/>
        <w:spacing w:beforeAutospacing="1" w:after="0" w:afterAutospacing="1" w:line="240" w:lineRule="auto"/>
        <w:ind w:left="1110"/>
        <w:rPr>
          <w:rFonts w:ascii="Calibri" w:eastAsia="Times New Roman" w:hAnsi="Calibri" w:cs="Calibri"/>
          <w:color w:val="000000"/>
          <w:bdr w:val="none" w:sz="0" w:space="0" w:color="auto" w:frame="1"/>
          <w:lang w:eastAsia="en-AU"/>
        </w:rPr>
      </w:pPr>
    </w:p>
    <w:p w14:paraId="3098F527" w14:textId="5477E2E7" w:rsidR="0016516A" w:rsidRPr="00FA12B1" w:rsidRDefault="0016516A" w:rsidP="00B45115">
      <w:pPr>
        <w:pStyle w:val="ListParagraph"/>
        <w:numPr>
          <w:ilvl w:val="0"/>
          <w:numId w:val="4"/>
        </w:numPr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36"/>
          <w:szCs w:val="36"/>
          <w:bdr w:val="none" w:sz="0" w:space="0" w:color="auto" w:frame="1"/>
          <w:lang w:eastAsia="en-AU"/>
        </w:rPr>
      </w:pPr>
      <w:r w:rsidRPr="00FA12B1">
        <w:rPr>
          <w:sz w:val="36"/>
          <w:szCs w:val="36"/>
          <w:lang w:val="en-US"/>
        </w:rPr>
        <w:t xml:space="preserve">Engage in ongoing consultation and co-design with people with intellectual disability, their </w:t>
      </w:r>
      <w:proofErr w:type="gramStart"/>
      <w:r w:rsidRPr="00FA12B1">
        <w:rPr>
          <w:sz w:val="36"/>
          <w:szCs w:val="36"/>
          <w:lang w:val="en-US"/>
        </w:rPr>
        <w:t>families</w:t>
      </w:r>
      <w:proofErr w:type="gramEnd"/>
      <w:r w:rsidRPr="00FA12B1">
        <w:rPr>
          <w:sz w:val="36"/>
          <w:szCs w:val="36"/>
          <w:lang w:val="en-US"/>
        </w:rPr>
        <w:t xml:space="preserve"> and supporters about results from the Disability Royal Commission (DRC) and NDIS Review</w:t>
      </w:r>
      <w:r w:rsidR="00B45115" w:rsidRPr="00FA12B1">
        <w:rPr>
          <w:sz w:val="36"/>
          <w:szCs w:val="36"/>
          <w:lang w:val="en-US"/>
        </w:rPr>
        <w:t>.</w:t>
      </w:r>
    </w:p>
    <w:p w14:paraId="69AB366C" w14:textId="2039ADB7" w:rsidR="00FA12B1" w:rsidRPr="00CD2A90" w:rsidRDefault="00FA12B1" w:rsidP="00CD2A90">
      <w:pPr>
        <w:spacing w:beforeAutospacing="1" w:after="0" w:line="240" w:lineRule="auto"/>
        <w:jc w:val="center"/>
        <w:rPr>
          <w:rFonts w:eastAsia="Times New Roman" w:cstheme="minorHAnsi"/>
          <w:color w:val="000000"/>
          <w:sz w:val="36"/>
          <w:szCs w:val="36"/>
          <w:bdr w:val="none" w:sz="0" w:space="0" w:color="auto" w:frame="1"/>
          <w:lang w:eastAsia="en-AU"/>
        </w:rPr>
      </w:pPr>
      <w:r w:rsidRPr="00CD2A90">
        <w:rPr>
          <w:rFonts w:eastAsia="Times New Roman" w:cstheme="minorHAnsi"/>
          <w:b/>
          <w:bCs/>
          <w:color w:val="000000"/>
          <w:sz w:val="36"/>
          <w:szCs w:val="36"/>
          <w:bdr w:val="none" w:sz="0" w:space="0" w:color="auto" w:frame="1"/>
          <w:lang w:eastAsia="en-AU"/>
        </w:rPr>
        <w:lastRenderedPageBreak/>
        <w:t>VALID’s Call to Action to the State Government</w:t>
      </w:r>
    </w:p>
    <w:p w14:paraId="0E864C40" w14:textId="77777777" w:rsidR="00B45115" w:rsidRPr="0016516A" w:rsidRDefault="00B45115" w:rsidP="00FA12B1">
      <w:pPr>
        <w:spacing w:beforeAutospacing="1" w:after="0" w:line="240" w:lineRule="auto"/>
        <w:jc w:val="center"/>
        <w:rPr>
          <w:rFonts w:eastAsia="Times New Roman" w:cstheme="minorHAnsi"/>
          <w:color w:val="000000"/>
          <w:lang w:eastAsia="en-AU"/>
        </w:rPr>
      </w:pPr>
    </w:p>
    <w:p w14:paraId="3DAC9352" w14:textId="77777777" w:rsidR="00FA12B1" w:rsidRPr="00CD2A90" w:rsidRDefault="0016516A" w:rsidP="00CD2A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36"/>
          <w:szCs w:val="36"/>
          <w:lang w:eastAsia="en-AU"/>
        </w:rPr>
      </w:pPr>
      <w:r w:rsidRPr="0016516A">
        <w:rPr>
          <w:rFonts w:eastAsia="Times New Roman" w:cstheme="minorHAnsi"/>
          <w:color w:val="000000"/>
          <w:sz w:val="36"/>
          <w:szCs w:val="36"/>
          <w:bdr w:val="none" w:sz="0" w:space="0" w:color="auto" w:frame="1"/>
          <w:lang w:eastAsia="en-AU"/>
        </w:rPr>
        <w:t>Ongoing funding for</w:t>
      </w:r>
      <w:r w:rsidRPr="0016516A">
        <w:rPr>
          <w:rFonts w:eastAsia="Times New Roman" w:cstheme="minorHAnsi"/>
          <w:b/>
          <w:bCs/>
          <w:color w:val="000000"/>
          <w:sz w:val="36"/>
          <w:szCs w:val="36"/>
          <w:bdr w:val="none" w:sz="0" w:space="0" w:color="auto" w:frame="1"/>
          <w:lang w:eastAsia="en-AU"/>
        </w:rPr>
        <w:t> </w:t>
      </w:r>
      <w:r w:rsidRPr="0016516A">
        <w:rPr>
          <w:rFonts w:eastAsia="Times New Roman" w:cstheme="minorHAnsi"/>
          <w:b/>
          <w:bCs/>
          <w:color w:val="000000"/>
          <w:sz w:val="36"/>
          <w:szCs w:val="36"/>
          <w:u w:val="single"/>
          <w:bdr w:val="none" w:sz="0" w:space="0" w:color="auto" w:frame="1"/>
          <w:lang w:eastAsia="en-AU"/>
        </w:rPr>
        <w:t>independent</w:t>
      </w:r>
      <w:r w:rsidRPr="0016516A">
        <w:rPr>
          <w:rFonts w:eastAsia="Times New Roman" w:cstheme="minorHAnsi"/>
          <w:b/>
          <w:bCs/>
          <w:color w:val="000000"/>
          <w:sz w:val="36"/>
          <w:szCs w:val="36"/>
          <w:bdr w:val="none" w:sz="0" w:space="0" w:color="auto" w:frame="1"/>
          <w:lang w:eastAsia="en-AU"/>
        </w:rPr>
        <w:t xml:space="preserve"> supported </w:t>
      </w:r>
      <w:proofErr w:type="gramStart"/>
      <w:r w:rsidRPr="0016516A">
        <w:rPr>
          <w:rFonts w:eastAsia="Times New Roman" w:cstheme="minorHAnsi"/>
          <w:b/>
          <w:bCs/>
          <w:color w:val="000000"/>
          <w:sz w:val="36"/>
          <w:szCs w:val="36"/>
          <w:bdr w:val="none" w:sz="0" w:space="0" w:color="auto" w:frame="1"/>
          <w:lang w:eastAsia="en-AU"/>
        </w:rPr>
        <w:t>decision making</w:t>
      </w:r>
      <w:proofErr w:type="gramEnd"/>
      <w:r w:rsidRPr="0016516A">
        <w:rPr>
          <w:rFonts w:eastAsia="Times New Roman" w:cstheme="minorHAnsi"/>
          <w:b/>
          <w:bCs/>
          <w:color w:val="000000"/>
          <w:sz w:val="36"/>
          <w:szCs w:val="36"/>
          <w:bdr w:val="none" w:sz="0" w:space="0" w:color="auto" w:frame="1"/>
          <w:lang w:eastAsia="en-AU"/>
        </w:rPr>
        <w:t xml:space="preserve"> programs</w:t>
      </w:r>
      <w:r w:rsidR="00FA12B1" w:rsidRPr="00CD2A90">
        <w:rPr>
          <w:rFonts w:eastAsia="Times New Roman" w:cstheme="minorHAnsi"/>
          <w:color w:val="000000"/>
          <w:sz w:val="36"/>
          <w:szCs w:val="36"/>
          <w:bdr w:val="none" w:sz="0" w:space="0" w:color="auto" w:frame="1"/>
          <w:lang w:eastAsia="en-AU"/>
        </w:rPr>
        <w:t>.</w:t>
      </w:r>
      <w:r w:rsidRPr="0016516A">
        <w:rPr>
          <w:rFonts w:eastAsia="Times New Roman" w:cstheme="minorHAnsi"/>
          <w:color w:val="000000"/>
          <w:sz w:val="36"/>
          <w:szCs w:val="36"/>
          <w:bdr w:val="none" w:sz="0" w:space="0" w:color="auto" w:frame="1"/>
          <w:lang w:eastAsia="en-AU"/>
        </w:rPr>
        <w:t> </w:t>
      </w:r>
    </w:p>
    <w:p w14:paraId="46034EC1" w14:textId="002A76EB" w:rsidR="00FA12B1" w:rsidRPr="00CD2A90" w:rsidRDefault="00FA12B1" w:rsidP="00CD2A90">
      <w:pPr>
        <w:spacing w:beforeAutospacing="1" w:after="0" w:afterAutospacing="1" w:line="240" w:lineRule="auto"/>
        <w:ind w:left="720"/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lang w:eastAsia="en-AU"/>
        </w:rPr>
      </w:pPr>
      <w:r w:rsidRPr="00CD2A90">
        <w:rPr>
          <w:rFonts w:eastAsia="Times New Roman" w:cstheme="minorHAnsi"/>
          <w:color w:val="000000"/>
          <w:sz w:val="28"/>
          <w:szCs w:val="28"/>
          <w:lang w:eastAsia="en-AU"/>
        </w:rPr>
        <w:t>These programs must</w:t>
      </w:r>
      <w:r w:rsidRPr="00CD2A90"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lang w:eastAsia="en-AU"/>
        </w:rPr>
        <w:t xml:space="preserve"> </w:t>
      </w:r>
      <w:r w:rsidR="0016516A" w:rsidRPr="0016516A"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lang w:eastAsia="en-AU"/>
        </w:rPr>
        <w:t>offer independent decision-making support delivered by</w:t>
      </w:r>
      <w:r w:rsidRPr="00CD2A90"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lang w:eastAsia="en-AU"/>
        </w:rPr>
        <w:t xml:space="preserve"> </w:t>
      </w:r>
      <w:r w:rsidR="0016516A" w:rsidRPr="0016516A"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lang w:eastAsia="en-AU"/>
        </w:rPr>
        <w:t>independent disability advocacy organisations (not service providers)</w:t>
      </w:r>
      <w:r w:rsidRPr="00CD2A90"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lang w:eastAsia="en-AU"/>
        </w:rPr>
        <w:t>.</w:t>
      </w:r>
      <w:r w:rsidR="00CD2A90" w:rsidRPr="00CD2A90"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lang w:eastAsia="en-AU"/>
        </w:rPr>
        <w:t xml:space="preserve"> </w:t>
      </w:r>
      <w:r w:rsidRPr="00CD2A90"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lang w:eastAsia="en-AU"/>
        </w:rPr>
        <w:t>T</w:t>
      </w:r>
      <w:r w:rsidR="0016516A" w:rsidRPr="0016516A"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lang w:eastAsia="en-AU"/>
        </w:rPr>
        <w:t xml:space="preserve">his </w:t>
      </w:r>
      <w:r w:rsidRPr="00CD2A90"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lang w:eastAsia="en-AU"/>
        </w:rPr>
        <w:t xml:space="preserve">support </w:t>
      </w:r>
      <w:r w:rsidR="0016516A" w:rsidRPr="0016516A"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lang w:eastAsia="en-AU"/>
        </w:rPr>
        <w:t>could be delivered as</w:t>
      </w:r>
      <w:r w:rsidRPr="00CD2A90"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lang w:eastAsia="en-AU"/>
        </w:rPr>
        <w:t>:</w:t>
      </w:r>
      <w:r w:rsidR="0016516A" w:rsidRPr="0016516A"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lang w:eastAsia="en-AU"/>
        </w:rPr>
        <w:t xml:space="preserve"> </w:t>
      </w:r>
    </w:p>
    <w:p w14:paraId="0CB51035" w14:textId="77777777" w:rsidR="00CD2A90" w:rsidRPr="00CD2A90" w:rsidRDefault="00CD2A90" w:rsidP="00CD2A90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lang w:eastAsia="en-AU"/>
        </w:rPr>
        <w:sectPr w:rsidR="00CD2A90" w:rsidRPr="00CD2A90">
          <w:headerReference w:type="default" r:id="rId8"/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FF8C1FB" w14:textId="77777777" w:rsidR="00FA12B1" w:rsidRPr="00CD2A90" w:rsidRDefault="00FA12B1" w:rsidP="00CD2A90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7"/>
          <w:szCs w:val="27"/>
          <w:lang w:eastAsia="en-AU"/>
        </w:rPr>
      </w:pPr>
      <w:r w:rsidRPr="00CD2A90"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lang w:eastAsia="en-AU"/>
        </w:rPr>
        <w:t>S</w:t>
      </w:r>
      <w:r w:rsidR="0016516A" w:rsidRPr="00CD2A90"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lang w:eastAsia="en-AU"/>
        </w:rPr>
        <w:t>elf-advocacy</w:t>
      </w:r>
    </w:p>
    <w:p w14:paraId="33D9276F" w14:textId="77777777" w:rsidR="00FA12B1" w:rsidRPr="00CD2A90" w:rsidRDefault="00FA12B1" w:rsidP="00CD2A90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7"/>
          <w:szCs w:val="27"/>
          <w:lang w:eastAsia="en-AU"/>
        </w:rPr>
      </w:pPr>
      <w:r w:rsidRPr="00CD2A90"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lang w:eastAsia="en-AU"/>
        </w:rPr>
        <w:t>P</w:t>
      </w:r>
      <w:r w:rsidR="0016516A" w:rsidRPr="00CD2A90"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lang w:eastAsia="en-AU"/>
        </w:rPr>
        <w:t>eer-to-peer advocacy</w:t>
      </w:r>
    </w:p>
    <w:p w14:paraId="4E9E6574" w14:textId="77777777" w:rsidR="00FA12B1" w:rsidRPr="00CD2A90" w:rsidRDefault="00FA12B1" w:rsidP="00CD2A90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7"/>
          <w:szCs w:val="27"/>
          <w:lang w:eastAsia="en-AU"/>
        </w:rPr>
      </w:pPr>
      <w:r w:rsidRPr="00CD2A90"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lang w:eastAsia="en-AU"/>
        </w:rPr>
        <w:t>T</w:t>
      </w:r>
      <w:r w:rsidR="0016516A" w:rsidRPr="00CD2A90"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lang w:eastAsia="en-AU"/>
        </w:rPr>
        <w:t>raining courses</w:t>
      </w:r>
    </w:p>
    <w:p w14:paraId="29CB102F" w14:textId="620D3E2B" w:rsidR="00FA12B1" w:rsidRPr="00CD2A90" w:rsidRDefault="00FA12B1" w:rsidP="00CD2A90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7"/>
          <w:szCs w:val="27"/>
          <w:lang w:eastAsia="en-AU"/>
        </w:rPr>
      </w:pPr>
      <w:r w:rsidRPr="00CD2A90"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lang w:eastAsia="en-AU"/>
        </w:rPr>
        <w:t>S</w:t>
      </w:r>
      <w:r w:rsidR="0016516A" w:rsidRPr="00CD2A90"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lang w:eastAsia="en-AU"/>
        </w:rPr>
        <w:t xml:space="preserve">hort and long-term individualised support to people without family provided by </w:t>
      </w:r>
      <w:proofErr w:type="gramStart"/>
      <w:r w:rsidR="0016516A" w:rsidRPr="00CD2A90"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lang w:eastAsia="en-AU"/>
        </w:rPr>
        <w:t>volunteers</w:t>
      </w:r>
      <w:proofErr w:type="gramEnd"/>
    </w:p>
    <w:p w14:paraId="193B8943" w14:textId="77777777" w:rsidR="00CD2A90" w:rsidRDefault="00CD2A90" w:rsidP="00FA12B1">
      <w:pPr>
        <w:pStyle w:val="ListParagraph"/>
        <w:spacing w:beforeAutospacing="1" w:after="0" w:afterAutospacing="1" w:line="240" w:lineRule="auto"/>
        <w:ind w:left="1110"/>
        <w:rPr>
          <w:rFonts w:eastAsia="Times New Roman" w:cstheme="minorHAnsi"/>
          <w:color w:val="000000"/>
          <w:bdr w:val="none" w:sz="0" w:space="0" w:color="auto" w:frame="1"/>
          <w:lang w:eastAsia="en-AU"/>
        </w:rPr>
        <w:sectPr w:rsidR="00CD2A90" w:rsidSect="00CD2A90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D9C07A3" w14:textId="77777777" w:rsidR="00FA12B1" w:rsidRPr="00CD2A90" w:rsidRDefault="00FA12B1" w:rsidP="00FA12B1">
      <w:pPr>
        <w:pStyle w:val="ListParagraph"/>
        <w:spacing w:beforeAutospacing="1" w:after="0" w:afterAutospacing="1" w:line="240" w:lineRule="auto"/>
        <w:ind w:left="1110"/>
        <w:rPr>
          <w:rFonts w:eastAsia="Times New Roman" w:cstheme="minorHAnsi"/>
          <w:color w:val="000000"/>
          <w:bdr w:val="none" w:sz="0" w:space="0" w:color="auto" w:frame="1"/>
          <w:lang w:eastAsia="en-AU"/>
        </w:rPr>
      </w:pPr>
    </w:p>
    <w:p w14:paraId="65DDE2FC" w14:textId="77777777" w:rsidR="00FA12B1" w:rsidRPr="00CD2A90" w:rsidRDefault="00FA12B1" w:rsidP="00FA12B1">
      <w:pPr>
        <w:pStyle w:val="ListParagraph"/>
        <w:spacing w:beforeAutospacing="1" w:after="0" w:afterAutospacing="1" w:line="240" w:lineRule="auto"/>
        <w:ind w:left="1110"/>
        <w:rPr>
          <w:rFonts w:eastAsia="Times New Roman" w:cstheme="minorHAnsi"/>
          <w:color w:val="000000"/>
          <w:bdr w:val="none" w:sz="0" w:space="0" w:color="auto" w:frame="1"/>
          <w:lang w:eastAsia="en-AU"/>
        </w:rPr>
      </w:pPr>
    </w:p>
    <w:p w14:paraId="3981646B" w14:textId="7FFADFCB" w:rsidR="00FA12B1" w:rsidRPr="00CD2A90" w:rsidRDefault="0016516A" w:rsidP="00FA12B1">
      <w:pPr>
        <w:pStyle w:val="ListParagraph"/>
        <w:numPr>
          <w:ilvl w:val="0"/>
          <w:numId w:val="1"/>
        </w:numPr>
        <w:spacing w:beforeAutospacing="1" w:after="0" w:afterAutospacing="1" w:line="240" w:lineRule="auto"/>
        <w:rPr>
          <w:rFonts w:eastAsia="Times New Roman" w:cstheme="minorHAnsi"/>
          <w:color w:val="000000"/>
          <w:sz w:val="36"/>
          <w:szCs w:val="36"/>
          <w:lang w:eastAsia="en-AU"/>
        </w:rPr>
      </w:pPr>
      <w:r w:rsidRPr="00CD2A90">
        <w:rPr>
          <w:rFonts w:eastAsia="Times New Roman" w:cstheme="minorHAnsi"/>
          <w:color w:val="000000"/>
          <w:sz w:val="36"/>
          <w:szCs w:val="36"/>
          <w:bdr w:val="none" w:sz="0" w:space="0" w:color="auto" w:frame="1"/>
          <w:lang w:eastAsia="en-AU"/>
        </w:rPr>
        <w:t>Funding to </w:t>
      </w:r>
      <w:r w:rsidRPr="00CD2A90">
        <w:rPr>
          <w:rFonts w:eastAsia="Times New Roman" w:cstheme="minorHAnsi"/>
          <w:b/>
          <w:bCs/>
          <w:color w:val="000000"/>
          <w:sz w:val="36"/>
          <w:szCs w:val="36"/>
          <w:bdr w:val="none" w:sz="0" w:space="0" w:color="auto" w:frame="1"/>
          <w:lang w:eastAsia="en-AU"/>
        </w:rPr>
        <w:t>support families</w:t>
      </w:r>
      <w:r w:rsidRPr="00CD2A90">
        <w:rPr>
          <w:rFonts w:eastAsia="Times New Roman" w:cstheme="minorHAnsi"/>
          <w:color w:val="000000"/>
          <w:sz w:val="36"/>
          <w:szCs w:val="36"/>
          <w:bdr w:val="none" w:sz="0" w:space="0" w:color="auto" w:frame="1"/>
          <w:lang w:eastAsia="en-AU"/>
        </w:rPr>
        <w:t> to be informed decision supporters</w:t>
      </w:r>
      <w:r w:rsidR="00FA12B1" w:rsidRPr="00CD2A90">
        <w:rPr>
          <w:rFonts w:eastAsia="Times New Roman" w:cstheme="minorHAnsi"/>
          <w:color w:val="000000"/>
          <w:sz w:val="36"/>
          <w:szCs w:val="36"/>
          <w:bdr w:val="none" w:sz="0" w:space="0" w:color="auto" w:frame="1"/>
          <w:lang w:eastAsia="en-AU"/>
        </w:rPr>
        <w:t>.</w:t>
      </w:r>
    </w:p>
    <w:p w14:paraId="40E106A1" w14:textId="0ACB567A" w:rsidR="00CD2A90" w:rsidRPr="00CD2A90" w:rsidRDefault="00FA12B1" w:rsidP="00CD2A90">
      <w:pPr>
        <w:spacing w:beforeAutospacing="1" w:after="0" w:afterAutospacing="1" w:line="240" w:lineRule="auto"/>
        <w:ind w:left="720"/>
        <w:rPr>
          <w:rFonts w:eastAsia="Times New Roman" w:cstheme="minorHAnsi"/>
          <w:color w:val="000000"/>
          <w:bdr w:val="none" w:sz="0" w:space="0" w:color="auto" w:frame="1"/>
          <w:lang w:eastAsia="en-AU"/>
        </w:rPr>
      </w:pPr>
      <w:r w:rsidRPr="00CD2A90"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lang w:eastAsia="en-AU"/>
        </w:rPr>
        <w:t>This includes funding</w:t>
      </w:r>
      <w:r w:rsidR="0016516A" w:rsidRPr="0016516A"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lang w:eastAsia="en-AU"/>
        </w:rPr>
        <w:t xml:space="preserve"> for</w:t>
      </w:r>
      <w:r w:rsidR="00CD2A90"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lang w:eastAsia="en-AU"/>
        </w:rPr>
        <w:t xml:space="preserve"> f</w:t>
      </w:r>
      <w:r w:rsidR="0016516A" w:rsidRPr="00CD2A90"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lang w:eastAsia="en-AU"/>
        </w:rPr>
        <w:t>amily-led peer groups</w:t>
      </w:r>
      <w:r w:rsidR="00CD2A90"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lang w:eastAsia="en-AU"/>
        </w:rPr>
        <w:t>, e</w:t>
      </w:r>
      <w:r w:rsidR="0016516A" w:rsidRPr="00CD2A90"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lang w:eastAsia="en-AU"/>
        </w:rPr>
        <w:t>vents</w:t>
      </w:r>
      <w:r w:rsidR="00CD2A90"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lang w:eastAsia="en-AU"/>
        </w:rPr>
        <w:t>, and t</w:t>
      </w:r>
      <w:r w:rsidR="0016516A" w:rsidRPr="00CD2A90"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lang w:eastAsia="en-AU"/>
        </w:rPr>
        <w:t>raining and resources</w:t>
      </w:r>
      <w:r w:rsidR="00CD2A90"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lang w:eastAsia="en-AU"/>
        </w:rPr>
        <w:t>.</w:t>
      </w:r>
      <w:r w:rsidR="00CD2A90"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lang w:eastAsia="en-AU"/>
        </w:rPr>
        <w:br/>
      </w:r>
    </w:p>
    <w:p w14:paraId="2FB0B3F7" w14:textId="757A89F0" w:rsidR="00FA12B1" w:rsidRPr="00CD2A90" w:rsidRDefault="0016516A" w:rsidP="00CD2A90">
      <w:pPr>
        <w:pStyle w:val="ListParagraph"/>
        <w:numPr>
          <w:ilvl w:val="0"/>
          <w:numId w:val="1"/>
        </w:numPr>
        <w:spacing w:beforeAutospacing="1" w:after="0" w:afterAutospacing="1" w:line="240" w:lineRule="auto"/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lang w:eastAsia="en-AU"/>
        </w:rPr>
      </w:pPr>
      <w:r w:rsidRPr="00CD2A90">
        <w:rPr>
          <w:rFonts w:eastAsia="Times New Roman" w:cstheme="minorHAnsi"/>
          <w:color w:val="000000"/>
          <w:sz w:val="36"/>
          <w:szCs w:val="36"/>
          <w:bdr w:val="none" w:sz="0" w:space="0" w:color="auto" w:frame="1"/>
          <w:lang w:eastAsia="en-AU"/>
        </w:rPr>
        <w:t>Funding for </w:t>
      </w:r>
      <w:r w:rsidRPr="00CD2A90">
        <w:rPr>
          <w:rFonts w:eastAsia="Times New Roman" w:cstheme="minorHAnsi"/>
          <w:b/>
          <w:bCs/>
          <w:color w:val="000000"/>
          <w:sz w:val="36"/>
          <w:szCs w:val="36"/>
          <w:bdr w:val="none" w:sz="0" w:space="0" w:color="auto" w:frame="1"/>
          <w:lang w:eastAsia="en-AU"/>
        </w:rPr>
        <w:t>self-advocacy and peer groups</w:t>
      </w:r>
      <w:r w:rsidRPr="00CD2A90">
        <w:rPr>
          <w:rFonts w:eastAsia="Times New Roman" w:cstheme="minorHAnsi"/>
          <w:color w:val="000000"/>
          <w:sz w:val="36"/>
          <w:szCs w:val="36"/>
          <w:bdr w:val="none" w:sz="0" w:space="0" w:color="auto" w:frame="1"/>
          <w:lang w:eastAsia="en-AU"/>
        </w:rPr>
        <w:t> for people with intellectual and other disability</w:t>
      </w:r>
      <w:r w:rsidR="00FA12B1" w:rsidRPr="00CD2A90">
        <w:rPr>
          <w:rFonts w:eastAsia="Times New Roman" w:cstheme="minorHAnsi"/>
          <w:color w:val="000000"/>
          <w:sz w:val="36"/>
          <w:szCs w:val="36"/>
          <w:bdr w:val="none" w:sz="0" w:space="0" w:color="auto" w:frame="1"/>
          <w:lang w:eastAsia="en-AU"/>
        </w:rPr>
        <w:t>.</w:t>
      </w:r>
      <w:r w:rsidRPr="00CD2A90">
        <w:rPr>
          <w:rFonts w:eastAsia="Times New Roman" w:cstheme="minorHAnsi"/>
          <w:color w:val="000000"/>
          <w:sz w:val="36"/>
          <w:szCs w:val="36"/>
          <w:bdr w:val="none" w:sz="0" w:space="0" w:color="auto" w:frame="1"/>
          <w:lang w:eastAsia="en-AU"/>
        </w:rPr>
        <w:t xml:space="preserve"> </w:t>
      </w:r>
    </w:p>
    <w:p w14:paraId="52C40B4F" w14:textId="77777777" w:rsidR="00FA12B1" w:rsidRPr="00CD2A90" w:rsidRDefault="00FA12B1" w:rsidP="00FA12B1">
      <w:pPr>
        <w:pStyle w:val="ListParagraph"/>
        <w:spacing w:beforeAutospacing="1" w:after="0" w:afterAutospacing="1" w:line="240" w:lineRule="auto"/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lang w:eastAsia="en-AU"/>
        </w:rPr>
      </w:pPr>
    </w:p>
    <w:p w14:paraId="33296E94" w14:textId="7D789EB5" w:rsidR="0016516A" w:rsidRPr="00CD2A90" w:rsidRDefault="00FA12B1" w:rsidP="00CD2A90">
      <w:pPr>
        <w:pStyle w:val="ListParagraph"/>
        <w:spacing w:beforeAutospacing="1" w:after="0" w:afterAutospacing="1" w:line="240" w:lineRule="auto"/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lang w:eastAsia="en-AU"/>
        </w:rPr>
      </w:pPr>
      <w:r w:rsidRPr="00CD2A90"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lang w:eastAsia="en-AU"/>
        </w:rPr>
        <w:t>This would give people in these groups opportunities to</w:t>
      </w:r>
      <w:r w:rsidR="0016516A" w:rsidRPr="00CD2A90"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lang w:eastAsia="en-AU"/>
        </w:rPr>
        <w:t xml:space="preserve"> support each other to</w:t>
      </w:r>
      <w:r w:rsidR="00CD2A90"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lang w:eastAsia="en-AU"/>
        </w:rPr>
        <w:t xml:space="preserve"> m</w:t>
      </w:r>
      <w:r w:rsidR="0016516A" w:rsidRPr="00CD2A90"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lang w:eastAsia="en-AU"/>
        </w:rPr>
        <w:t>ake informed decisions</w:t>
      </w:r>
      <w:r w:rsidR="00CD2A90"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lang w:eastAsia="en-AU"/>
        </w:rPr>
        <w:t>, l</w:t>
      </w:r>
      <w:r w:rsidR="0016516A" w:rsidRPr="00CD2A90"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lang w:eastAsia="en-AU"/>
        </w:rPr>
        <w:t>earn about advocacy</w:t>
      </w:r>
      <w:r w:rsidR="00CD2A90"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lang w:eastAsia="en-AU"/>
        </w:rPr>
        <w:t>, and a</w:t>
      </w:r>
      <w:r w:rsidR="0016516A" w:rsidRPr="00CD2A90"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lang w:eastAsia="en-AU"/>
        </w:rPr>
        <w:t>ccess education and information designed to build capacity for independent decision making</w:t>
      </w:r>
      <w:r w:rsidR="00CD2A90"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lang w:eastAsia="en-AU"/>
        </w:rPr>
        <w:t>.</w:t>
      </w:r>
    </w:p>
    <w:p w14:paraId="1EF38539" w14:textId="77777777" w:rsidR="00CD2A90" w:rsidRPr="00CD2A90" w:rsidRDefault="00CD2A90" w:rsidP="00CD2A90">
      <w:pPr>
        <w:pStyle w:val="ListParagraph"/>
        <w:spacing w:beforeAutospacing="1" w:after="0" w:afterAutospacing="1" w:line="240" w:lineRule="auto"/>
        <w:ind w:left="1830"/>
        <w:rPr>
          <w:rFonts w:eastAsia="Times New Roman" w:cstheme="minorHAnsi"/>
          <w:color w:val="000000"/>
          <w:bdr w:val="none" w:sz="0" w:space="0" w:color="auto" w:frame="1"/>
          <w:lang w:eastAsia="en-AU"/>
        </w:rPr>
      </w:pPr>
    </w:p>
    <w:p w14:paraId="7F4A958C" w14:textId="77777777" w:rsidR="00CD2A90" w:rsidRPr="00CD2A90" w:rsidRDefault="00CD2A90" w:rsidP="00CD2A90">
      <w:pPr>
        <w:pStyle w:val="ListParagraph"/>
        <w:spacing w:beforeAutospacing="1" w:after="0" w:afterAutospacing="1" w:line="240" w:lineRule="auto"/>
        <w:ind w:left="1830"/>
        <w:rPr>
          <w:rFonts w:eastAsia="Times New Roman" w:cstheme="minorHAnsi"/>
          <w:color w:val="000000"/>
          <w:bdr w:val="none" w:sz="0" w:space="0" w:color="auto" w:frame="1"/>
          <w:lang w:eastAsia="en-AU"/>
        </w:rPr>
      </w:pPr>
    </w:p>
    <w:p w14:paraId="46A9E012" w14:textId="250F8FF9" w:rsidR="00661727" w:rsidRPr="00CD2A90" w:rsidRDefault="00FA12B1" w:rsidP="00B45115">
      <w:pPr>
        <w:pStyle w:val="ListParagraph"/>
        <w:numPr>
          <w:ilvl w:val="0"/>
          <w:numId w:val="1"/>
        </w:numPr>
        <w:spacing w:beforeAutospacing="1" w:after="0" w:afterAutospacing="1" w:line="240" w:lineRule="auto"/>
        <w:rPr>
          <w:rFonts w:eastAsia="Times New Roman" w:cstheme="minorHAnsi"/>
          <w:color w:val="000000"/>
          <w:sz w:val="36"/>
          <w:szCs w:val="36"/>
          <w:bdr w:val="none" w:sz="0" w:space="0" w:color="auto" w:frame="1"/>
          <w:lang w:eastAsia="en-AU"/>
        </w:rPr>
      </w:pPr>
      <w:r w:rsidRPr="00CD2A90">
        <w:rPr>
          <w:rFonts w:cstheme="minorHAnsi"/>
          <w:sz w:val="36"/>
          <w:szCs w:val="36"/>
          <w:lang w:val="en-US"/>
        </w:rPr>
        <w:t xml:space="preserve">Engage in ongoing consultation and co-design with people with intellectual disability, their </w:t>
      </w:r>
      <w:proofErr w:type="gramStart"/>
      <w:r w:rsidRPr="00CD2A90">
        <w:rPr>
          <w:rFonts w:cstheme="minorHAnsi"/>
          <w:sz w:val="36"/>
          <w:szCs w:val="36"/>
          <w:lang w:val="en-US"/>
        </w:rPr>
        <w:t>families</w:t>
      </w:r>
      <w:proofErr w:type="gramEnd"/>
      <w:r w:rsidRPr="00CD2A90">
        <w:rPr>
          <w:rFonts w:cstheme="minorHAnsi"/>
          <w:sz w:val="36"/>
          <w:szCs w:val="36"/>
          <w:lang w:val="en-US"/>
        </w:rPr>
        <w:t xml:space="preserve"> and supporters about results from the Disability Royal Commission (DRC) and NDIS Review.</w:t>
      </w:r>
    </w:p>
    <w:sectPr w:rsidR="00661727" w:rsidRPr="00CD2A90" w:rsidSect="00CD2A90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730F3" w14:textId="77777777" w:rsidR="00B6712B" w:rsidRDefault="00B6712B" w:rsidP="00FA12B1">
      <w:pPr>
        <w:spacing w:after="0" w:line="240" w:lineRule="auto"/>
      </w:pPr>
      <w:r>
        <w:separator/>
      </w:r>
    </w:p>
  </w:endnote>
  <w:endnote w:type="continuationSeparator" w:id="0">
    <w:p w14:paraId="4A317856" w14:textId="77777777" w:rsidR="00B6712B" w:rsidRDefault="00B6712B" w:rsidP="00FA1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46510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4FF73B" w14:textId="718B993D" w:rsidR="002C0C4A" w:rsidRDefault="002C0C4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62B751" w14:textId="77777777" w:rsidR="002C0C4A" w:rsidRDefault="002C0C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7DBFE" w14:textId="77777777" w:rsidR="00B6712B" w:rsidRDefault="00B6712B" w:rsidP="00FA12B1">
      <w:pPr>
        <w:spacing w:after="0" w:line="240" w:lineRule="auto"/>
      </w:pPr>
      <w:r>
        <w:separator/>
      </w:r>
    </w:p>
  </w:footnote>
  <w:footnote w:type="continuationSeparator" w:id="0">
    <w:p w14:paraId="3590298E" w14:textId="77777777" w:rsidR="00B6712B" w:rsidRDefault="00B6712B" w:rsidP="00FA1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7E6C5" w14:textId="77777777" w:rsidR="00FA12B1" w:rsidRDefault="00FA12B1" w:rsidP="00FA12B1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7FCDCD8" wp14:editId="1AB13D09">
          <wp:simplePos x="0" y="0"/>
          <wp:positionH relativeFrom="margin">
            <wp:align>right</wp:align>
          </wp:positionH>
          <wp:positionV relativeFrom="paragraph">
            <wp:posOffset>17759</wp:posOffset>
          </wp:positionV>
          <wp:extent cx="1315149" cy="366335"/>
          <wp:effectExtent l="0" t="0" r="0" b="0"/>
          <wp:wrapNone/>
          <wp:docPr id="1" name="Picture 1" descr="A picture containing graphics, graphic design, font, colorfulne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graphics, graphic design, font, colorfulnes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149" cy="366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673F3A6" w14:textId="77777777" w:rsidR="00FA12B1" w:rsidRDefault="00FA12B1">
    <w:pPr>
      <w:pStyle w:val="Header"/>
    </w:pPr>
  </w:p>
  <w:p w14:paraId="6AC753F2" w14:textId="77777777" w:rsidR="00FA12B1" w:rsidRDefault="00FA12B1">
    <w:pPr>
      <w:pStyle w:val="Header"/>
    </w:pPr>
  </w:p>
  <w:p w14:paraId="16E9B56E" w14:textId="77777777" w:rsidR="00FA12B1" w:rsidRDefault="00FA12B1">
    <w:pPr>
      <w:pStyle w:val="Header"/>
    </w:pPr>
  </w:p>
  <w:p w14:paraId="5DDFFE34" w14:textId="77777777" w:rsidR="00FA12B1" w:rsidRDefault="00FA12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706B1"/>
    <w:multiLevelType w:val="hybridMultilevel"/>
    <w:tmpl w:val="789A4040"/>
    <w:lvl w:ilvl="0" w:tplc="D10AE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1E679F"/>
    <w:multiLevelType w:val="hybridMultilevel"/>
    <w:tmpl w:val="C4B604E6"/>
    <w:lvl w:ilvl="0" w:tplc="FFFFFFFF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465BC8"/>
    <w:multiLevelType w:val="hybridMultilevel"/>
    <w:tmpl w:val="8A10E88E"/>
    <w:lvl w:ilvl="0" w:tplc="FA52B33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64369BD"/>
    <w:multiLevelType w:val="hybridMultilevel"/>
    <w:tmpl w:val="C4B604E6"/>
    <w:lvl w:ilvl="0" w:tplc="D6C26D58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2BE2D6A"/>
    <w:multiLevelType w:val="hybridMultilevel"/>
    <w:tmpl w:val="DEFC0B5C"/>
    <w:lvl w:ilvl="0" w:tplc="0C09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5" w15:restartNumberingAfterBreak="0">
    <w:nsid w:val="7A8F03DC"/>
    <w:multiLevelType w:val="multilevel"/>
    <w:tmpl w:val="EE9EB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36"/>
        <w:szCs w:val="36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8235013">
    <w:abstractNumId w:val="5"/>
  </w:num>
  <w:num w:numId="2" w16cid:durableId="201673743">
    <w:abstractNumId w:val="0"/>
  </w:num>
  <w:num w:numId="3" w16cid:durableId="1081172324">
    <w:abstractNumId w:val="2"/>
  </w:num>
  <w:num w:numId="4" w16cid:durableId="518663980">
    <w:abstractNumId w:val="3"/>
  </w:num>
  <w:num w:numId="5" w16cid:durableId="446660405">
    <w:abstractNumId w:val="4"/>
  </w:num>
  <w:num w:numId="6" w16cid:durableId="273900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16A"/>
    <w:rsid w:val="00116BBC"/>
    <w:rsid w:val="0016516A"/>
    <w:rsid w:val="00273E58"/>
    <w:rsid w:val="002C0C4A"/>
    <w:rsid w:val="00661727"/>
    <w:rsid w:val="00B45115"/>
    <w:rsid w:val="00B6712B"/>
    <w:rsid w:val="00BA265E"/>
    <w:rsid w:val="00C14EE2"/>
    <w:rsid w:val="00C26227"/>
    <w:rsid w:val="00CD2A90"/>
    <w:rsid w:val="00FA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1AD36"/>
  <w15:chartTrackingRefBased/>
  <w15:docId w15:val="{E008AC67-0892-4919-B742-37AF93CDF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3E58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4EE2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3E58"/>
    <w:rPr>
      <w:rFonts w:ascii="Calibri" w:eastAsiaTheme="majorEastAsia" w:hAnsi="Calibr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14EE2"/>
    <w:rPr>
      <w:rFonts w:eastAsiaTheme="majorEastAsia" w:cstheme="majorBidi"/>
      <w:b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165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16516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651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12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2B1"/>
  </w:style>
  <w:style w:type="paragraph" w:styleId="Footer">
    <w:name w:val="footer"/>
    <w:basedOn w:val="Normal"/>
    <w:link w:val="FooterChar"/>
    <w:uiPriority w:val="99"/>
    <w:unhideWhenUsed/>
    <w:rsid w:val="00FA12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us01.safelinks.protection.outlook.com/?url=https%3A%2F%2Feu-west-1.protection.sophos.com%2F%3Fd%3Dsupporteddecisionmaking.org%26u%3DaHR0cHM6Ly9zdXBwb3J0ZWRkZWNpc2lvbm1ha2luZy5vcmcv%26p%3Dm%26i%3DNjQ0ZjNlMDM2NjlkMmMyODZkYjhkY2Jm%26t%3DR2xWakxabkVVTnF6QnRXTzJ2TU5raDZWOXpuaktQM2NVVHlpWVNuczFUMD0%3D%26h%3Dcdfe7a9fff1841ed81d5c1ed336f256a%26s%3DAVNPUEhUT0NFTkNSWVBUSVY7lzpdij-GY9Eaxi69-yqfBX25Ii3fDpvpKLFxD6K27g&amp;data=05%7C02%7Ckaty%40valid.org.au%7Ccd46fd2fb690484ab53208dc8b3dff1f%7C5efba2ea4161426cbc7014f7c3d858e0%7C0%7C0%7C638538345609353763%7CUnknown%7CTWFpbGZsb3d8eyJWIjoiMC4wLjAwMDAiLCJQIjoiV2luMzIiLCJBTiI6Ik1haWwiLCJXVCI6Mn0%3D%7C0%7C%7C%7C&amp;sdata=6a6iGvfQ7S1tN46l%2FeYO%2BOQvD60JwEdOMa76dLgD2Yk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Gagliardi</dc:creator>
  <cp:keywords/>
  <dc:description/>
  <cp:lastModifiedBy>Katy Gagliardi</cp:lastModifiedBy>
  <cp:revision>4</cp:revision>
  <dcterms:created xsi:type="dcterms:W3CDTF">2024-06-19T01:46:00Z</dcterms:created>
  <dcterms:modified xsi:type="dcterms:W3CDTF">2024-10-07T04:18:00Z</dcterms:modified>
</cp:coreProperties>
</file>